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</w:t>
      </w:r>
      <w:r w:rsidR="001F77EB">
        <w:rPr>
          <w:sz w:val="24"/>
          <w:szCs w:val="24"/>
        </w:rPr>
        <w:t>3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F77EB">
        <w:rPr>
          <w:sz w:val="24"/>
          <w:szCs w:val="24"/>
        </w:rPr>
        <w:t>21</w:t>
      </w:r>
      <w:r w:rsidR="009A77E9">
        <w:rPr>
          <w:sz w:val="24"/>
          <w:szCs w:val="24"/>
        </w:rPr>
        <w:t xml:space="preserve"> de </w:t>
      </w:r>
      <w:r w:rsidR="005E081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1F77EB" w:rsidRPr="0047077E" w:rsidTr="00DB7B0D">
        <w:trPr>
          <w:trHeight w:val="187"/>
        </w:trPr>
        <w:tc>
          <w:tcPr>
            <w:tcW w:w="2268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1F77EB" w:rsidRPr="0047077E" w:rsidTr="00DB7B0D">
        <w:trPr>
          <w:trHeight w:val="199"/>
        </w:trPr>
        <w:tc>
          <w:tcPr>
            <w:tcW w:w="2268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1F77EB" w:rsidRPr="0047077E" w:rsidTr="00DB7B0D">
        <w:trPr>
          <w:trHeight w:val="199"/>
        </w:trPr>
        <w:tc>
          <w:tcPr>
            <w:tcW w:w="2268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Unirea</w:t>
            </w:r>
            <w:proofErr w:type="spellEnd"/>
          </w:p>
        </w:tc>
        <w:tc>
          <w:tcPr>
            <w:tcW w:w="850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1F77EB" w:rsidRDefault="00BA2A7E" w:rsidP="000765DC">
            <w:pPr>
              <w:pStyle w:val="NormalWeb"/>
              <w:jc w:val="center"/>
              <w:textAlignment w:val="top"/>
            </w:pPr>
            <w:r>
              <w:t>5</w:t>
            </w:r>
          </w:p>
        </w:tc>
      </w:tr>
      <w:tr w:rsidR="001F77EB" w:rsidRPr="0047077E" w:rsidTr="00DB7B0D">
        <w:trPr>
          <w:trHeight w:val="199"/>
        </w:trPr>
        <w:tc>
          <w:tcPr>
            <w:tcW w:w="2268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1F77EB" w:rsidRPr="00EF70C2" w:rsidRDefault="00BA2A7E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1F77EB" w:rsidRPr="0047077E" w:rsidRDefault="001F77EB" w:rsidP="001F77E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1F77EB" w:rsidRPr="00EF70C2" w:rsidRDefault="00BA2A7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1F77EB" w:rsidRPr="0047077E" w:rsidTr="00DB7B0D">
        <w:trPr>
          <w:trHeight w:val="248"/>
        </w:trPr>
        <w:tc>
          <w:tcPr>
            <w:tcW w:w="2268" w:type="dxa"/>
          </w:tcPr>
          <w:p w:rsidR="001F77EB" w:rsidRDefault="001F77EB" w:rsidP="001F77EB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1F77EB" w:rsidRDefault="001F77EB" w:rsidP="001F77E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1F77EB" w:rsidRPr="0047077E" w:rsidTr="00DB7B0D">
        <w:trPr>
          <w:trHeight w:val="248"/>
        </w:trPr>
        <w:tc>
          <w:tcPr>
            <w:tcW w:w="2268" w:type="dxa"/>
          </w:tcPr>
          <w:p w:rsidR="001F77EB" w:rsidRDefault="001F77EB" w:rsidP="001F77EB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  <w:tc>
          <w:tcPr>
            <w:tcW w:w="2126" w:type="dxa"/>
          </w:tcPr>
          <w:p w:rsidR="001F77EB" w:rsidRDefault="001F77EB" w:rsidP="001F77E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1F77EB" w:rsidRDefault="00BA2A7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</w:tbl>
    <w:p w:rsidR="00BA2A7E" w:rsidRDefault="00C05BB3" w:rsidP="00C05BB3">
      <w:pPr>
        <w:ind w:left="360"/>
      </w:pPr>
      <w:r>
        <w:t xml:space="preserve">        </w:t>
      </w:r>
    </w:p>
    <w:p w:rsidR="00B4112C" w:rsidRDefault="00BA2A7E" w:rsidP="00C05BB3">
      <w:pPr>
        <w:ind w:left="360"/>
      </w:pPr>
      <w:r>
        <w:t>Se da por finalizado el partido Cafeteros-</w:t>
      </w:r>
      <w:proofErr w:type="spellStart"/>
      <w:r>
        <w:t>Koky</w:t>
      </w:r>
      <w:proofErr w:type="spellEnd"/>
      <w:r>
        <w:t xml:space="preserve"> con el resultado del momento en que, transcurrido el tiempo reglamentario, varios jugadores del </w:t>
      </w:r>
      <w:proofErr w:type="spellStart"/>
      <w:r>
        <w:t>Koky</w:t>
      </w:r>
      <w:proofErr w:type="spellEnd"/>
      <w:r>
        <w:t xml:space="preserve"> y muy especialmente su capitán (licencia num.7), protestaron airadamente la decisión del árbitro de dar 3 minutos de tiempo suplementario ocasionando que tuviese que interrumpir el partido.</w:t>
      </w:r>
    </w:p>
    <w:p w:rsidR="00BA2A7E" w:rsidRDefault="00BA2A7E" w:rsidP="00C05BB3">
      <w:pPr>
        <w:ind w:left="360"/>
      </w:pPr>
      <w:r>
        <w:t>Asimismo se aplica al citado capitán una tarjeta roja por el motivo señalado.</w:t>
      </w:r>
    </w:p>
    <w:p w:rsidR="00173E3C" w:rsidRDefault="00173E3C" w:rsidP="00E84E1C">
      <w:pPr>
        <w:ind w:left="360"/>
        <w:rPr>
          <w:b/>
        </w:rPr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BE61AA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555C30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5E0818" w:rsidRDefault="00555C30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</w:tr>
      <w:tr w:rsidR="00555C30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2156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5B7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555C3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30" w:rsidRPr="00CC55C6" w:rsidRDefault="00555C30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C30" w:rsidRPr="00CC55C6" w:rsidRDefault="00555C3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173E3C" w:rsidRDefault="005B7CA7" w:rsidP="005B7CA7">
      <w:pPr>
        <w:rPr>
          <w:b/>
        </w:rPr>
      </w:pPr>
      <w:r>
        <w:rPr>
          <w:b/>
        </w:rPr>
        <w:t xml:space="preserve">   </w:t>
      </w:r>
    </w:p>
    <w:p w:rsidR="00173E3C" w:rsidRDefault="00173E3C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173E3C">
        <w:rPr>
          <w:b/>
          <w:u w:val="single"/>
        </w:rPr>
        <w:t>2</w:t>
      </w:r>
      <w:r w:rsidR="001F77EB">
        <w:rPr>
          <w:b/>
          <w:u w:val="single"/>
        </w:rPr>
        <w:t>8</w:t>
      </w:r>
      <w:proofErr w:type="gramEnd"/>
      <w:r>
        <w:rPr>
          <w:b/>
          <w:u w:val="single"/>
        </w:rPr>
        <w:t xml:space="preserve"> </w:t>
      </w:r>
      <w:r w:rsidR="009B2E97">
        <w:rPr>
          <w:b/>
          <w:u w:val="single"/>
        </w:rPr>
        <w:t>abril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F77EB" w:rsidP="00DB7B0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1F77EB" w:rsidP="00A02B0A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F77EB" w:rsidP="009B2E97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A433EB" w:rsidRPr="0047077E" w:rsidRDefault="001F77EB" w:rsidP="007C3AF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F77EB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2250" w:type="dxa"/>
          </w:tcPr>
          <w:p w:rsidR="00A433EB" w:rsidRPr="0047077E" w:rsidRDefault="001F77EB" w:rsidP="00DB7B0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1F77EB" w:rsidP="007C3AF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A433EB" w:rsidRPr="0047077E" w:rsidRDefault="00173E3C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1F77EB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A433EB" w:rsidRDefault="001F77EB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1F77EB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DB7B0D" w:rsidRDefault="001F77EB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5C30">
        <w:t>16, 25.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555C30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5C30">
        <w:t>8, 10.</w:t>
      </w:r>
    </w:p>
    <w:p w:rsidR="00555C30" w:rsidRPr="00555C30" w:rsidRDefault="00555C30" w:rsidP="0026205F">
      <w:pPr>
        <w:numPr>
          <w:ilvl w:val="3"/>
          <w:numId w:val="11"/>
        </w:numPr>
        <w:rPr>
          <w:u w:val="single"/>
        </w:rPr>
      </w:pPr>
      <w:r>
        <w:t xml:space="preserve">roja al </w:t>
      </w:r>
      <w:proofErr w:type="spellStart"/>
      <w:r>
        <w:t>num.</w:t>
      </w:r>
      <w:proofErr w:type="spellEnd"/>
      <w:r>
        <w:t xml:space="preserve"> 7 (</w:t>
      </w:r>
      <w:proofErr w:type="spellStart"/>
      <w:r>
        <w:t>Hector</w:t>
      </w:r>
      <w:proofErr w:type="spellEnd"/>
      <w:r>
        <w:t xml:space="preserve"> David </w:t>
      </w:r>
      <w:proofErr w:type="spellStart"/>
      <w:r>
        <w:t>Restrego</w:t>
      </w:r>
      <w:proofErr w:type="spellEnd"/>
      <w:r>
        <w:t xml:space="preserve"> Grisales por protestar airadamente la decisión del árbitro de conceder 3 minutos como descuento al terminar el tiempo reglamentario.</w:t>
      </w:r>
    </w:p>
    <w:p w:rsidR="00555C30" w:rsidRPr="00D427EB" w:rsidRDefault="00555C30" w:rsidP="00555C30">
      <w:pPr>
        <w:ind w:left="2880"/>
        <w:rPr>
          <w:u w:val="single"/>
        </w:rPr>
      </w:pPr>
      <w:r>
        <w:t xml:space="preserve">Se le sanciona con </w:t>
      </w:r>
      <w:r w:rsidR="00877270">
        <w:t>1 partido</w:t>
      </w:r>
      <w:r>
        <w:t xml:space="preserve"> de suspensión y 12 euros de multa.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5C30">
        <w:t xml:space="preserve">7, </w:t>
      </w:r>
      <w:r w:rsidR="00173E3C">
        <w:t>14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 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5C30">
        <w:t>14, 16, 17, 18, 22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120EB4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555C30">
        <w:t>7</w:t>
      </w:r>
      <w:r w:rsidR="00173E3C">
        <w:t>.</w:t>
      </w:r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555C30">
        <w:t>13, 1</w:t>
      </w:r>
      <w:r w:rsidR="00173E3C">
        <w:t>8</w:t>
      </w:r>
      <w:r w:rsidR="00E37CAD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5C30">
        <w:t xml:space="preserve">3, </w:t>
      </w:r>
      <w:r w:rsidR="00173E3C">
        <w:t>1</w:t>
      </w:r>
      <w:r w:rsidR="00555C30">
        <w:t>4</w:t>
      </w:r>
      <w:r w:rsidR="00173E3C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73E3C">
        <w:t>10</w:t>
      </w:r>
      <w:r w:rsidR="00555C30">
        <w:t>, 15, 22.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5C30">
        <w:t>2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</w:t>
            </w:r>
            <w:r w:rsidRPr="001B5CD9">
              <w:rPr>
                <w:sz w:val="20"/>
                <w:szCs w:val="20"/>
              </w:rPr>
              <w:lastRenderedPageBreak/>
              <w:t>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</w:t>
            </w:r>
            <w:proofErr w:type="gramStart"/>
            <w:r>
              <w:rPr>
                <w:sz w:val="20"/>
                <w:szCs w:val="20"/>
              </w:rPr>
              <w:t>jugador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F779E0" w:rsidRPr="003500F1" w:rsidTr="002634ED">
        <w:tc>
          <w:tcPr>
            <w:tcW w:w="1531" w:type="dxa"/>
          </w:tcPr>
          <w:p w:rsidR="004944A0" w:rsidRDefault="000A0474" w:rsidP="004944A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F779E0" w:rsidRDefault="00E77756" w:rsidP="000A047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0474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779E0" w:rsidRDefault="00E777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E77756" w:rsidRDefault="00E77756" w:rsidP="00E777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779E0" w:rsidRPr="00BA06A9" w:rsidRDefault="00E77756" w:rsidP="00E7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E77756" w:rsidRPr="003500F1" w:rsidTr="002634ED">
        <w:tc>
          <w:tcPr>
            <w:tcW w:w="1531" w:type="dxa"/>
          </w:tcPr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E77756" w:rsidRDefault="00E77756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77756" w:rsidRPr="00BA06A9" w:rsidRDefault="00E77756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E77756" w:rsidRPr="00BA06A9" w:rsidRDefault="008147B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77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E777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77756" w:rsidRDefault="00E77756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147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partidos de suspensión y </w:t>
            </w:r>
            <w:r w:rsidR="008147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euros de multa por </w:t>
            </w:r>
            <w:r w:rsidR="008147BA">
              <w:rPr>
                <w:sz w:val="20"/>
                <w:szCs w:val="20"/>
              </w:rPr>
              <w:t>insultos graves al árbitro tras ser expulsado por doble amarilla.</w:t>
            </w:r>
          </w:p>
          <w:p w:rsidR="00E77756" w:rsidRPr="00BA06A9" w:rsidRDefault="00E77756" w:rsidP="008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555C30" w:rsidRPr="003500F1" w:rsidTr="002634ED">
        <w:tc>
          <w:tcPr>
            <w:tcW w:w="1531" w:type="dxa"/>
          </w:tcPr>
          <w:p w:rsidR="00555C30" w:rsidRDefault="00555C30" w:rsidP="001F77E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Hector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David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Restrego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Grisales </w:t>
            </w:r>
          </w:p>
          <w:p w:rsidR="00555C30" w:rsidRDefault="00555C30" w:rsidP="001F77E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555C30" w:rsidRDefault="00555C30" w:rsidP="00D35F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555C30" w:rsidRDefault="00555C30" w:rsidP="001F7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28-4-2024</w:t>
            </w:r>
          </w:p>
        </w:tc>
        <w:tc>
          <w:tcPr>
            <w:tcW w:w="1276" w:type="dxa"/>
          </w:tcPr>
          <w:p w:rsidR="00555C30" w:rsidRDefault="00555C30" w:rsidP="001F7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5-5-2024</w:t>
            </w:r>
          </w:p>
        </w:tc>
        <w:tc>
          <w:tcPr>
            <w:tcW w:w="4253" w:type="dxa"/>
          </w:tcPr>
          <w:p w:rsidR="00555C30" w:rsidRDefault="00555C30" w:rsidP="001F77E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772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partido de suspensión y 12 euros de multa por protestar airadamente la decisión del árbitro de conceder 3 minutos de descuento.</w:t>
            </w:r>
          </w:p>
          <w:p w:rsidR="00555C30" w:rsidRDefault="00555C30" w:rsidP="001F77E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21-4-2024</w:t>
            </w:r>
          </w:p>
        </w:tc>
      </w:tr>
      <w:tr w:rsidR="00555C30" w:rsidRPr="003500F1" w:rsidTr="002634ED">
        <w:tc>
          <w:tcPr>
            <w:tcW w:w="1531" w:type="dxa"/>
          </w:tcPr>
          <w:p w:rsidR="00555C30" w:rsidRDefault="00877270" w:rsidP="001F77E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77270">
              <w:rPr>
                <w:bCs/>
                <w:color w:val="000000"/>
                <w:sz w:val="20"/>
                <w:szCs w:val="20"/>
                <w:shd w:val="clear" w:color="auto" w:fill="FFFFFF"/>
              </w:rPr>
              <w:t>Edwin Arteaga Gutiérrez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77270" w:rsidRDefault="00877270" w:rsidP="001F77E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555C30" w:rsidRDefault="00877270" w:rsidP="00D35F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555C30" w:rsidRDefault="00877270" w:rsidP="001F7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28-4-2024</w:t>
            </w:r>
          </w:p>
        </w:tc>
        <w:tc>
          <w:tcPr>
            <w:tcW w:w="1276" w:type="dxa"/>
          </w:tcPr>
          <w:p w:rsidR="00555C30" w:rsidRDefault="00877270" w:rsidP="001F7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28-4-2024</w:t>
            </w:r>
          </w:p>
        </w:tc>
        <w:tc>
          <w:tcPr>
            <w:tcW w:w="4253" w:type="dxa"/>
          </w:tcPr>
          <w:p w:rsidR="00877270" w:rsidRDefault="00877270" w:rsidP="0087727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555C30" w:rsidRDefault="00877270" w:rsidP="0087727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21-4-2024</w:t>
            </w:r>
          </w:p>
        </w:tc>
      </w:tr>
      <w:tr w:rsidR="00877270" w:rsidRPr="003500F1" w:rsidTr="002634ED">
        <w:tc>
          <w:tcPr>
            <w:tcW w:w="1531" w:type="dxa"/>
          </w:tcPr>
          <w:p w:rsidR="00877270" w:rsidRDefault="00877270" w:rsidP="0087727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77270">
              <w:rPr>
                <w:bCs/>
                <w:color w:val="000000"/>
                <w:sz w:val="20"/>
                <w:szCs w:val="20"/>
                <w:shd w:val="clear" w:color="auto" w:fill="FFFFFF"/>
              </w:rPr>
              <w:t>Yancarlos</w:t>
            </w:r>
            <w:proofErr w:type="spellEnd"/>
            <w:r w:rsidRPr="00877270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Alexis Moreno </w:t>
            </w:r>
            <w:proofErr w:type="spellStart"/>
            <w:r w:rsidRPr="00877270">
              <w:rPr>
                <w:bCs/>
                <w:color w:val="000000"/>
                <w:sz w:val="20"/>
                <w:szCs w:val="20"/>
                <w:shd w:val="clear" w:color="auto" w:fill="FFFFFF"/>
              </w:rPr>
              <w:t>Perez</w:t>
            </w:r>
            <w:proofErr w:type="spellEnd"/>
            <w:r w:rsidRPr="00877270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10)</w:t>
            </w:r>
          </w:p>
        </w:tc>
        <w:tc>
          <w:tcPr>
            <w:tcW w:w="1134" w:type="dxa"/>
          </w:tcPr>
          <w:p w:rsidR="00877270" w:rsidRDefault="00877270" w:rsidP="00D35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877270" w:rsidRDefault="00877270" w:rsidP="00CC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28-4-2024</w:t>
            </w:r>
          </w:p>
        </w:tc>
        <w:tc>
          <w:tcPr>
            <w:tcW w:w="1276" w:type="dxa"/>
          </w:tcPr>
          <w:p w:rsidR="00877270" w:rsidRDefault="00877270" w:rsidP="00CC7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28-4-2024</w:t>
            </w:r>
          </w:p>
        </w:tc>
        <w:tc>
          <w:tcPr>
            <w:tcW w:w="4253" w:type="dxa"/>
          </w:tcPr>
          <w:p w:rsidR="00877270" w:rsidRDefault="00877270" w:rsidP="00CC701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877270" w:rsidRDefault="00877270" w:rsidP="00CC701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21-4-2024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D27AA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º trimestre 202</w:t>
      </w:r>
      <w:r w:rsidR="00D27AAD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:</w:t>
      </w:r>
    </w:p>
    <w:tbl>
      <w:tblPr>
        <w:tblW w:w="7426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846"/>
        <w:gridCol w:w="1540"/>
        <w:gridCol w:w="1420"/>
        <w:gridCol w:w="1420"/>
        <w:gridCol w:w="1200"/>
      </w:tblGrid>
      <w:tr w:rsidR="00D27AAD" w:rsidRPr="00D27AAD" w:rsidTr="00D27AAD">
        <w:trPr>
          <w:trHeight w:val="780"/>
        </w:trPr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Total deuda trimestre ene-</w:t>
            </w:r>
            <w:proofErr w:type="spellStart"/>
            <w:r w:rsidRPr="00D27AAD">
              <w:rPr>
                <w:b/>
                <w:bCs/>
                <w:color w:val="000000"/>
              </w:rPr>
              <w:t>mzo</w:t>
            </w:r>
            <w:proofErr w:type="spellEnd"/>
            <w:r w:rsidRPr="00D27AAD">
              <w:rPr>
                <w:b/>
                <w:bCs/>
                <w:color w:val="000000"/>
              </w:rPr>
              <w:t xml:space="preserve"> 2024 </w:t>
            </w:r>
            <w:r w:rsidRPr="00D27AAD">
              <w:rPr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Deuda anterior (con multa por retraso semanal)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Cantidades pagadas con adelanto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Pendiente de pago</w:t>
            </w:r>
          </w:p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(2)</w:t>
            </w:r>
          </w:p>
        </w:tc>
      </w:tr>
      <w:tr w:rsidR="00D27AAD" w:rsidRPr="00D27AAD" w:rsidTr="00D27AAD">
        <w:trPr>
          <w:trHeight w:val="803"/>
        </w:trPr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8 40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195,00 €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16,80 €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211,80 €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Zabala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24,00 €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0,30 €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23,70 €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Cafeteros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211,00 €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211,00 €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proofErr w:type="spellStart"/>
            <w:r w:rsidRPr="00D27AAD">
              <w:rPr>
                <w:color w:val="000000"/>
              </w:rPr>
              <w:t>Koky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34,50 €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34,50 €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La Sede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13,50 €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13,50 €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proofErr w:type="spellStart"/>
            <w:r w:rsidRPr="00D27AAD">
              <w:rPr>
                <w:color w:val="000000"/>
              </w:rPr>
              <w:t>Unirea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117,00 €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8,12 €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125,12 €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proofErr w:type="spellStart"/>
            <w:r w:rsidRPr="00D27AAD">
              <w:rPr>
                <w:color w:val="000000"/>
              </w:rPr>
              <w:t>Yepronor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81,00 €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52,74 €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28,26 €</w:t>
            </w:r>
          </w:p>
        </w:tc>
      </w:tr>
    </w:tbl>
    <w:p w:rsidR="00D27AAD" w:rsidRDefault="00D27AAD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5055"/>
        <w:gridCol w:w="3804"/>
      </w:tblGrid>
      <w:tr w:rsidR="00D27AAD" w:rsidRPr="00D27AAD" w:rsidTr="00D27AAD">
        <w:trPr>
          <w:trHeight w:val="285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ind w:firstLine="284"/>
              <w:rPr>
                <w:color w:val="000000"/>
              </w:rPr>
            </w:pPr>
            <w:r w:rsidRPr="00D27AAD">
              <w:rPr>
                <w:color w:val="000000"/>
                <w:sz w:val="16"/>
                <w:szCs w:val="16"/>
              </w:rPr>
              <w:t>(1)</w:t>
            </w:r>
            <w:r w:rsidRPr="00D27AAD">
              <w:rPr>
                <w:color w:val="000000"/>
              </w:rPr>
              <w:t xml:space="preserve"> Este importe se deberá ingresar antes del 23-4-2024.</w:t>
            </w:r>
          </w:p>
        </w:tc>
      </w:tr>
      <w:tr w:rsidR="00D27AAD" w:rsidRPr="00D27AAD" w:rsidTr="00D27AAD">
        <w:trPr>
          <w:trHeight w:val="285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rPr>
                <w:color w:val="000000"/>
              </w:rPr>
            </w:pPr>
            <w:r w:rsidRPr="00D27AAD">
              <w:rPr>
                <w:color w:val="000000"/>
              </w:rPr>
              <w:t xml:space="preserve">          A partir de ese momento se aplicará la penalización por retraso cada semana.</w:t>
            </w:r>
          </w:p>
        </w:tc>
      </w:tr>
      <w:tr w:rsidR="00D27AAD" w:rsidRPr="00D27AAD" w:rsidTr="00D27AAD">
        <w:trPr>
          <w:trHeight w:val="28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ind w:left="567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F5935" w:rsidRDefault="00D27AAD" w:rsidP="00D27AAD">
      <w:pPr>
        <w:shd w:val="clear" w:color="auto" w:fill="FFFFFF"/>
        <w:spacing w:before="100" w:after="100"/>
        <w:ind w:left="708" w:hanging="424"/>
        <w:jc w:val="both"/>
        <w:textAlignment w:val="top"/>
      </w:pPr>
      <w:r w:rsidRPr="00D27AAD">
        <w:rPr>
          <w:sz w:val="16"/>
          <w:szCs w:val="16"/>
        </w:rPr>
        <w:t>(2)</w:t>
      </w:r>
      <w:r>
        <w:t xml:space="preserve"> </w:t>
      </w:r>
      <w:r w:rsidR="00E96556">
        <w:t>En cuanto se superen dos semanas con deuda pendiente se podrá suspender la participación de un equipo hasta solucionarlo.</w:t>
      </w:r>
    </w:p>
    <w:p w:rsidR="00871ED5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7117A9">
        <w:rPr>
          <w:b/>
          <w:u w:val="single"/>
        </w:rPr>
        <w:t>ene</w:t>
      </w:r>
      <w:r>
        <w:rPr>
          <w:b/>
          <w:u w:val="single"/>
        </w:rPr>
        <w:t>-</w:t>
      </w:r>
      <w:r w:rsidR="007117A9">
        <w:rPr>
          <w:b/>
          <w:u w:val="single"/>
        </w:rPr>
        <w:t>mzo.</w:t>
      </w:r>
      <w:r>
        <w:rPr>
          <w:b/>
          <w:u w:val="single"/>
        </w:rPr>
        <w:t xml:space="preserve"> 202</w:t>
      </w:r>
      <w:r w:rsidR="007117A9">
        <w:rPr>
          <w:b/>
          <w:u w:val="single"/>
        </w:rPr>
        <w:t>4</w:t>
      </w:r>
      <w:r w:rsidRPr="002160C9">
        <w:rPr>
          <w:b/>
          <w:u w:val="single"/>
        </w:rPr>
        <w:t>.</w:t>
      </w:r>
    </w:p>
    <w:p w:rsidR="00871ED5" w:rsidRDefault="00871ED5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Se deben pagar antes del 23-4-2024 y son las siguientes:</w:t>
      </w:r>
    </w:p>
    <w:p w:rsidR="006539EA" w:rsidRDefault="006539EA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</w:p>
    <w:tbl>
      <w:tblPr>
        <w:tblW w:w="7640" w:type="dxa"/>
        <w:tblInd w:w="434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560"/>
        <w:gridCol w:w="1540"/>
      </w:tblGrid>
      <w:tr w:rsidR="006539EA" w:rsidRPr="006539EA" w:rsidTr="006539EA">
        <w:trPr>
          <w:trHeight w:val="780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9EA" w:rsidRPr="006539EA" w:rsidRDefault="006539EA" w:rsidP="009F3DB4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lastRenderedPageBreak/>
              <w:t>Equipo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Tarjetas amarillas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Multas por tarjetas rojas y sanciones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Total deuda trimestre</w:t>
            </w:r>
          </w:p>
        </w:tc>
      </w:tr>
      <w:tr w:rsidR="006539EA" w:rsidRPr="006539EA" w:rsidTr="006539EA">
        <w:trPr>
          <w:trHeight w:val="308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número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 xml:space="preserve">multa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8 40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195,00 €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Atlantic</w:t>
            </w:r>
            <w:proofErr w:type="spellEnd"/>
            <w:r w:rsidRPr="006539EA">
              <w:rPr>
                <w:color w:val="000000"/>
              </w:rPr>
              <w:t xml:space="preserve"> Isles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16,50 €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Cafeteros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45,00 €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211,00 €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Koky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34,50 €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34,50 €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Perla del Oeste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19,50 €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12,00 €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31,50 €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Pindepa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</w:t>
            </w:r>
            <w:r w:rsidR="001827F9">
              <w:rPr>
                <w:color w:val="000000"/>
              </w:rPr>
              <w:t>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130,50 €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San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9,00 €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Tartanga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22,50 €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Unirea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33,00 €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117,00 €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Yepronor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21,00 €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81,00 €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24,00 €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24,00 €</w:t>
            </w:r>
          </w:p>
        </w:tc>
      </w:tr>
    </w:tbl>
    <w:p w:rsidR="006539EA" w:rsidRDefault="00871ED5" w:rsidP="006539EA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B27415">
        <w:rPr>
          <w:color w:val="000000"/>
        </w:rPr>
        <w:t>A partir de la fecha límite de pago, esa deuda tendrá el mi</w:t>
      </w:r>
      <w:r w:rsidR="006539EA">
        <w:rPr>
          <w:color w:val="000000"/>
        </w:rPr>
        <w:t xml:space="preserve">smo procedimiento que los   pagos </w:t>
      </w:r>
      <w:r w:rsidR="00B27415">
        <w:rPr>
          <w:color w:val="000000"/>
        </w:rPr>
        <w:t>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B0" w:rsidRDefault="00F105B0">
      <w:r>
        <w:separator/>
      </w:r>
    </w:p>
  </w:endnote>
  <w:endnote w:type="continuationSeparator" w:id="0">
    <w:p w:rsidR="00F105B0" w:rsidRDefault="00F1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A7E" w:rsidRDefault="00BA2A7E">
    <w:pPr>
      <w:pStyle w:val="Piedepgina"/>
      <w:pBdr>
        <w:bottom w:val="single" w:sz="12" w:space="1" w:color="auto"/>
      </w:pBdr>
    </w:pPr>
  </w:p>
  <w:p w:rsidR="00BA2A7E" w:rsidRPr="00B62BB2" w:rsidRDefault="00BA2A7E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23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21</w:t>
    </w:r>
    <w:r w:rsidRPr="00B62BB2">
      <w:rPr>
        <w:sz w:val="18"/>
        <w:szCs w:val="18"/>
      </w:rPr>
      <w:t>-</w:t>
    </w:r>
    <w:r>
      <w:rPr>
        <w:sz w:val="18"/>
        <w:szCs w:val="18"/>
      </w:rPr>
      <w:t>4-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E44808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E44808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B0" w:rsidRDefault="00F105B0">
      <w:r>
        <w:separator/>
      </w:r>
    </w:p>
  </w:footnote>
  <w:footnote w:type="continuationSeparator" w:id="0">
    <w:p w:rsidR="00F105B0" w:rsidRDefault="00F10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07E4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19F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A5F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4103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3E3C"/>
    <w:rsid w:val="00175873"/>
    <w:rsid w:val="00176254"/>
    <w:rsid w:val="00177A37"/>
    <w:rsid w:val="0018004F"/>
    <w:rsid w:val="001812BC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7EB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5C30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818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4A36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DA3"/>
    <w:rsid w:val="006A3FCF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61"/>
    <w:rsid w:val="008753D4"/>
    <w:rsid w:val="00877270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19A2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452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27BE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66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A7E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161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976F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27AAD"/>
    <w:rsid w:val="00D322C8"/>
    <w:rsid w:val="00D3274F"/>
    <w:rsid w:val="00D35F8A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4808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EF70C2"/>
    <w:rsid w:val="00F008C9"/>
    <w:rsid w:val="00F031D1"/>
    <w:rsid w:val="00F03279"/>
    <w:rsid w:val="00F03683"/>
    <w:rsid w:val="00F03E6B"/>
    <w:rsid w:val="00F042D3"/>
    <w:rsid w:val="00F04830"/>
    <w:rsid w:val="00F05542"/>
    <w:rsid w:val="00F07E62"/>
    <w:rsid w:val="00F102F5"/>
    <w:rsid w:val="00F105B0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42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98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53C13-3991-4466-80B6-E985F435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1827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2024-04-15T09:08:00Z</cp:lastPrinted>
  <dcterms:created xsi:type="dcterms:W3CDTF">2024-04-20T15:04:00Z</dcterms:created>
  <dcterms:modified xsi:type="dcterms:W3CDTF">2024-04-21T15:12:00Z</dcterms:modified>
</cp:coreProperties>
</file>